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7E4CD" w14:textId="18892209" w:rsidR="003A267F" w:rsidRPr="008B373A" w:rsidRDefault="00ED17A6" w:rsidP="00ED17A6">
      <w:pPr>
        <w:jc w:val="center"/>
        <w:rPr>
          <w:rFonts w:ascii="Open Sans" w:hAnsi="Open Sans" w:cs="Open Sans"/>
          <w:sz w:val="56"/>
          <w:szCs w:val="56"/>
        </w:rPr>
      </w:pPr>
      <w:r>
        <w:rPr>
          <w:rFonts w:ascii="Open Sans" w:hAnsi="Open Sans"/>
          <w:color w:val="00B297"/>
          <w:sz w:val="56"/>
        </w:rPr>
        <w:t xml:space="preserve">Ajuda em dinheiro </w:t>
      </w:r>
      <w:r>
        <w:rPr>
          <w:rFonts w:ascii="Open Sans" w:hAnsi="Open Sans"/>
          <w:sz w:val="56"/>
        </w:rPr>
        <w:t>Atividade 1</w:t>
      </w:r>
    </w:p>
    <w:p w14:paraId="73C8616B" w14:textId="048F7D60" w:rsidR="00ED17A6" w:rsidRPr="00725769" w:rsidRDefault="00ED17A6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</w:rPr>
      </w:pPr>
      <w:r>
        <w:rPr>
          <w:rFonts w:ascii="Open Sans" w:hAnsi="Open Sans"/>
          <w:b/>
        </w:rPr>
        <w:t xml:space="preserve">Instruções: </w:t>
      </w:r>
      <w:r>
        <w:rPr>
          <w:rFonts w:ascii="Open Sans" w:hAnsi="Open Sans"/>
        </w:rPr>
        <w:t xml:space="preserve">Leia o cenário e </w:t>
      </w:r>
      <w:r w:rsidR="002E48EF">
        <w:rPr>
          <w:rFonts w:ascii="Open Sans" w:hAnsi="Open Sans"/>
        </w:rPr>
        <w:t>o</w:t>
      </w:r>
      <w:r>
        <w:rPr>
          <w:rFonts w:ascii="Open Sans" w:hAnsi="Open Sans"/>
        </w:rPr>
        <w:t xml:space="preserve">s </w:t>
      </w:r>
      <w:r w:rsidR="002E48EF">
        <w:rPr>
          <w:rFonts w:ascii="Open Sans" w:hAnsi="Open Sans"/>
        </w:rPr>
        <w:t xml:space="preserve">papéis atribuídos </w:t>
      </w:r>
      <w:r>
        <w:rPr>
          <w:rFonts w:ascii="Open Sans" w:hAnsi="Open Sans"/>
        </w:rPr>
        <w:t xml:space="preserve">abaixo. Decida para cada papel como gastaria o dinheiro que lhe é </w:t>
      </w:r>
      <w:r w:rsidR="002E48EF">
        <w:rPr>
          <w:rFonts w:ascii="Open Sans" w:hAnsi="Open Sans"/>
        </w:rPr>
        <w:t xml:space="preserve">colocado à disposição </w:t>
      </w:r>
      <w:r>
        <w:rPr>
          <w:rFonts w:ascii="Open Sans" w:hAnsi="Open Sans"/>
        </w:rPr>
        <w:t>para satisfazer as suas necessidades.</w:t>
      </w:r>
    </w:p>
    <w:p w14:paraId="2A1DE25C" w14:textId="75858A39" w:rsidR="00ED17A6" w:rsidRPr="00725769" w:rsidRDefault="00ED17A6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</w:rPr>
      </w:pPr>
      <w:r>
        <w:rPr>
          <w:rFonts w:ascii="Open Sans" w:hAnsi="Open Sans"/>
          <w:b/>
        </w:rPr>
        <w:t xml:space="preserve">Cenário: </w:t>
      </w:r>
      <w:r>
        <w:rPr>
          <w:rFonts w:ascii="Open Sans" w:hAnsi="Open Sans"/>
        </w:rPr>
        <w:t>Houve um sismo na sua área. Uma organização humanitária implementou um programa de ajuda em dinheiro para o ajudar</w:t>
      </w:r>
      <w:r w:rsidR="002E48EF">
        <w:rPr>
          <w:rFonts w:ascii="Open Sans" w:hAnsi="Open Sans"/>
        </w:rPr>
        <w:t xml:space="preserve">, </w:t>
      </w:r>
      <w:r>
        <w:rPr>
          <w:rFonts w:ascii="Open Sans" w:hAnsi="Open Sans"/>
        </w:rPr>
        <w:t>a si e aos seus vizinhos</w:t>
      </w:r>
      <w:r w:rsidR="002E48EF">
        <w:rPr>
          <w:rFonts w:ascii="Open Sans" w:hAnsi="Open Sans"/>
        </w:rPr>
        <w:t>,</w:t>
      </w:r>
      <w:r>
        <w:rPr>
          <w:rFonts w:ascii="Open Sans" w:hAnsi="Open Sans"/>
        </w:rPr>
        <w:t xml:space="preserve"> a recuperar do impacto desta catástrofe. A organização está a fornecer $100 (dólares americanos) por mês a cada agregado familiar durante 6 meses. Ajudaram-no a abrir uma conta bancária para o dinheiro</w:t>
      </w:r>
      <w:r w:rsidR="002E48EF">
        <w:rPr>
          <w:rFonts w:ascii="Open Sans" w:hAnsi="Open Sans"/>
        </w:rPr>
        <w:t>,</w:t>
      </w:r>
      <w:r>
        <w:rPr>
          <w:rFonts w:ascii="Open Sans" w:hAnsi="Open Sans"/>
        </w:rPr>
        <w:t xml:space="preserve"> que pode levantar quando entender.</w:t>
      </w:r>
    </w:p>
    <w:p w14:paraId="262FB18F" w14:textId="1A1376D6" w:rsidR="00ED17A6" w:rsidRPr="008B373A" w:rsidRDefault="007A62D3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b/>
        </w:rPr>
      </w:pPr>
      <w:r>
        <w:rPr>
          <w:rFonts w:ascii="Open Sans" w:hAnsi="Open Sans"/>
          <w:b/>
        </w:rPr>
        <w:t>Papéis</w:t>
      </w:r>
      <w:r w:rsidR="002E48EF">
        <w:rPr>
          <w:rFonts w:ascii="Open Sans" w:hAnsi="Open Sans"/>
          <w:b/>
        </w:rPr>
        <w:t xml:space="preserve"> atribuídos</w:t>
      </w:r>
      <w:r>
        <w:rPr>
          <w:rFonts w:ascii="Open Sans" w:hAnsi="Open Sans"/>
          <w:b/>
        </w:rPr>
        <w:t>:</w:t>
      </w:r>
    </w:p>
    <w:p w14:paraId="089174ED" w14:textId="1E665E76" w:rsidR="00EB57E8" w:rsidRPr="00725769" w:rsidRDefault="003A267F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</w:rPr>
      </w:pPr>
      <w:r>
        <w:rPr>
          <w:rFonts w:ascii="Open Sans" w:hAnsi="Open Sans"/>
          <w:b/>
        </w:rPr>
        <w:t>Pessoa A:</w:t>
      </w:r>
      <w:r>
        <w:rPr>
          <w:rFonts w:ascii="Open Sans" w:hAnsi="Open Sans"/>
        </w:rPr>
        <w:t xml:space="preserve"> O seu telhado desabou. Felizmente, ninguém em casa ficou ferido e todos estão bem de saúde. Tem três crianças na escola e, infelizmente, os seus uniformes foram destruídos com o desmoronamento do telhado. Atualmente, está desempregado.</w:t>
      </w:r>
    </w:p>
    <w:p w14:paraId="3F363EE0" w14:textId="4173DE42" w:rsidR="00EC734D" w:rsidRPr="00725769" w:rsidRDefault="003A267F" w:rsidP="00EC734D">
      <w:pPr>
        <w:pStyle w:val="NormalWeb"/>
        <w:spacing w:before="400" w:beforeAutospacing="0" w:after="0" w:afterAutospacing="0"/>
        <w:rPr>
          <w:rFonts w:ascii="Open Sans" w:eastAsia="Open Sans" w:hAnsi="Open Sans" w:cs="Open Sans"/>
        </w:rPr>
      </w:pPr>
      <w:r>
        <w:rPr>
          <w:rFonts w:ascii="Open Sans" w:hAnsi="Open Sans"/>
          <w:b/>
        </w:rPr>
        <w:t>Pessoa B:</w:t>
      </w:r>
      <w:r>
        <w:rPr>
          <w:rFonts w:ascii="Open Sans" w:hAnsi="Open Sans"/>
        </w:rPr>
        <w:t xml:space="preserve"> </w:t>
      </w:r>
      <w:r w:rsidR="006401FA">
        <w:rPr>
          <w:rFonts w:ascii="Open Sans" w:hAnsi="Open Sans"/>
        </w:rPr>
        <w:t>A</w:t>
      </w:r>
      <w:r>
        <w:rPr>
          <w:rFonts w:ascii="Open Sans" w:hAnsi="Open Sans"/>
        </w:rPr>
        <w:t>s oito janelas da sua casa foram estilhaçadas mas</w:t>
      </w:r>
      <w:r w:rsidR="002E48EF">
        <w:rPr>
          <w:rFonts w:ascii="Open Sans" w:hAnsi="Open Sans"/>
        </w:rPr>
        <w:t>,</w:t>
      </w:r>
      <w:r>
        <w:rPr>
          <w:rFonts w:ascii="Open Sans" w:hAnsi="Open Sans"/>
        </w:rPr>
        <w:t xml:space="preserve"> </w:t>
      </w:r>
      <w:r w:rsidR="002E48EF">
        <w:rPr>
          <w:rFonts w:ascii="Open Sans" w:hAnsi="Open Sans"/>
        </w:rPr>
        <w:t>de resto,</w:t>
      </w:r>
      <w:r>
        <w:rPr>
          <w:rFonts w:ascii="Open Sans" w:hAnsi="Open Sans"/>
        </w:rPr>
        <w:t xml:space="preserve"> não há danos visíveis na </w:t>
      </w:r>
      <w:r w:rsidR="006401FA">
        <w:rPr>
          <w:rFonts w:ascii="Open Sans" w:hAnsi="Open Sans"/>
        </w:rPr>
        <w:t>mesma</w:t>
      </w:r>
      <w:r>
        <w:rPr>
          <w:rFonts w:ascii="Open Sans" w:hAnsi="Open Sans"/>
        </w:rPr>
        <w:t>. Dois dos seus cinco filhos sofreram cortes do</w:t>
      </w:r>
      <w:r w:rsidR="002E48EF">
        <w:rPr>
          <w:rFonts w:ascii="Open Sans" w:hAnsi="Open Sans"/>
        </w:rPr>
        <w:t>s</w:t>
      </w:r>
      <w:r>
        <w:rPr>
          <w:rFonts w:ascii="Open Sans" w:hAnsi="Open Sans"/>
        </w:rPr>
        <w:t xml:space="preserve"> vidro</w:t>
      </w:r>
      <w:r w:rsidR="002E48EF">
        <w:rPr>
          <w:rFonts w:ascii="Open Sans" w:hAnsi="Open Sans"/>
        </w:rPr>
        <w:t>s</w:t>
      </w:r>
      <w:r>
        <w:rPr>
          <w:rFonts w:ascii="Open Sans" w:hAnsi="Open Sans"/>
        </w:rPr>
        <w:t xml:space="preserve"> partido</w:t>
      </w:r>
      <w:r w:rsidR="002E48EF">
        <w:rPr>
          <w:rFonts w:ascii="Open Sans" w:hAnsi="Open Sans"/>
        </w:rPr>
        <w:t>s</w:t>
      </w:r>
      <w:r>
        <w:rPr>
          <w:rFonts w:ascii="Open Sans" w:hAnsi="Open Sans"/>
        </w:rPr>
        <w:t xml:space="preserve">, mas sem gravidade. </w:t>
      </w:r>
      <w:r w:rsidR="002E48EF">
        <w:rPr>
          <w:rFonts w:ascii="Open Sans" w:hAnsi="Open Sans"/>
        </w:rPr>
        <w:t xml:space="preserve">Esses </w:t>
      </w:r>
      <w:r>
        <w:rPr>
          <w:rFonts w:ascii="Open Sans" w:hAnsi="Open Sans"/>
        </w:rPr>
        <w:t>cortes podem estar em risco de infeção. Quatro dos seus filhos precisam de novos uniformes. Normalmente ganha 100 dólares por mês</w:t>
      </w:r>
      <w:r w:rsidR="007D6D2A">
        <w:rPr>
          <w:rFonts w:ascii="Open Sans" w:hAnsi="Open Sans"/>
        </w:rPr>
        <w:t>,</w:t>
      </w:r>
      <w:r>
        <w:rPr>
          <w:rFonts w:ascii="Open Sans" w:hAnsi="Open Sans"/>
        </w:rPr>
        <w:t xml:space="preserve"> mas o seu local de trabalho ficou danificado e não voltará a </w:t>
      </w:r>
      <w:r w:rsidR="002E48EF">
        <w:rPr>
          <w:rFonts w:ascii="Open Sans" w:hAnsi="Open Sans"/>
        </w:rPr>
        <w:t xml:space="preserve">funcionar </w:t>
      </w:r>
      <w:r>
        <w:rPr>
          <w:rFonts w:ascii="Open Sans" w:hAnsi="Open Sans"/>
        </w:rPr>
        <w:t>durante 3 meses. Não receberá qualquer remuneração até à reabertura do seu local de trabalho.</w:t>
      </w:r>
    </w:p>
    <w:p w14:paraId="4DDF5A1B" w14:textId="1AE6D640" w:rsidR="003A267F" w:rsidRPr="00725769" w:rsidRDefault="003A267F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</w:rPr>
      </w:pPr>
      <w:r>
        <w:rPr>
          <w:rFonts w:ascii="Open Sans" w:hAnsi="Open Sans"/>
          <w:b/>
        </w:rPr>
        <w:t>Pessoa C:</w:t>
      </w:r>
      <w:r>
        <w:rPr>
          <w:rFonts w:ascii="Open Sans" w:hAnsi="Open Sans"/>
        </w:rPr>
        <w:t xml:space="preserve"> Os seus sogros mudaram-se </w:t>
      </w:r>
      <w:r w:rsidR="002E48EF">
        <w:rPr>
          <w:rFonts w:ascii="Open Sans" w:hAnsi="Open Sans"/>
        </w:rPr>
        <w:t>para sua casa,</w:t>
      </w:r>
      <w:r>
        <w:rPr>
          <w:rFonts w:ascii="Open Sans" w:hAnsi="Open Sans"/>
        </w:rPr>
        <w:t xml:space="preserve"> para o ajudar</w:t>
      </w:r>
      <w:r w:rsidR="002E48EF">
        <w:rPr>
          <w:rFonts w:ascii="Open Sans" w:hAnsi="Open Sans"/>
        </w:rPr>
        <w:t>,</w:t>
      </w:r>
      <w:r>
        <w:rPr>
          <w:rFonts w:ascii="Open Sans" w:hAnsi="Open Sans"/>
        </w:rPr>
        <w:t xml:space="preserve"> a si e à sua esposa</w:t>
      </w:r>
      <w:r w:rsidR="002E48EF">
        <w:rPr>
          <w:rFonts w:ascii="Open Sans" w:hAnsi="Open Sans"/>
        </w:rPr>
        <w:t>,</w:t>
      </w:r>
      <w:r>
        <w:rPr>
          <w:rFonts w:ascii="Open Sans" w:hAnsi="Open Sans"/>
        </w:rPr>
        <w:t xml:space="preserve"> com o novo bebé. A extensão que acrescentou </w:t>
      </w:r>
      <w:r w:rsidR="007D6D2A">
        <w:rPr>
          <w:rFonts w:ascii="Open Sans" w:hAnsi="Open Sans"/>
        </w:rPr>
        <w:t xml:space="preserve">à sua casa </w:t>
      </w:r>
      <w:r>
        <w:rPr>
          <w:rFonts w:ascii="Open Sans" w:hAnsi="Open Sans"/>
        </w:rPr>
        <w:t>para dar espaço aos seus sogros desmoronou-se completamente, a casa original permanece intacta, sem danos estruturais visíveis. Infelizmente, durante o desmoronamento, os seus sogros</w:t>
      </w:r>
      <w:r w:rsidR="007D6D2A">
        <w:rPr>
          <w:rFonts w:ascii="Open Sans" w:hAnsi="Open Sans"/>
        </w:rPr>
        <w:t>,</w:t>
      </w:r>
      <w:r>
        <w:rPr>
          <w:rFonts w:ascii="Open Sans" w:hAnsi="Open Sans"/>
        </w:rPr>
        <w:t xml:space="preserve"> mais idosos</w:t>
      </w:r>
      <w:r w:rsidR="007D6D2A">
        <w:rPr>
          <w:rFonts w:ascii="Open Sans" w:hAnsi="Open Sans"/>
        </w:rPr>
        <w:t>,</w:t>
      </w:r>
      <w:r>
        <w:rPr>
          <w:rFonts w:ascii="Open Sans" w:hAnsi="Open Sans"/>
        </w:rPr>
        <w:t xml:space="preserve"> ficaram feridos. Ambos se queixam de dor</w:t>
      </w:r>
      <w:r w:rsidR="007D6D2A">
        <w:rPr>
          <w:rFonts w:ascii="Open Sans" w:hAnsi="Open Sans"/>
        </w:rPr>
        <w:t>es</w:t>
      </w:r>
      <w:r>
        <w:rPr>
          <w:rFonts w:ascii="Open Sans" w:hAnsi="Open Sans"/>
        </w:rPr>
        <w:t xml:space="preserve">. Normalmente, tanto você como a sua </w:t>
      </w:r>
      <w:r w:rsidR="007D6D2A">
        <w:rPr>
          <w:rFonts w:ascii="Open Sans" w:hAnsi="Open Sans"/>
        </w:rPr>
        <w:t xml:space="preserve">esposa </w:t>
      </w:r>
      <w:r>
        <w:rPr>
          <w:rFonts w:ascii="Open Sans" w:hAnsi="Open Sans"/>
        </w:rPr>
        <w:t>trabalham, mas ela não est</w:t>
      </w:r>
      <w:r w:rsidR="006401FA">
        <w:rPr>
          <w:rFonts w:ascii="Open Sans" w:hAnsi="Open Sans"/>
        </w:rPr>
        <w:t>ar</w:t>
      </w:r>
      <w:r>
        <w:rPr>
          <w:rFonts w:ascii="Open Sans" w:hAnsi="Open Sans"/>
        </w:rPr>
        <w:t xml:space="preserve">á a trabalhar durante mais 3 meses devido ao </w:t>
      </w:r>
      <w:r w:rsidR="006401FA">
        <w:rPr>
          <w:rFonts w:ascii="Open Sans" w:hAnsi="Open Sans"/>
        </w:rPr>
        <w:t xml:space="preserve">nascimento do </w:t>
      </w:r>
      <w:r>
        <w:rPr>
          <w:rFonts w:ascii="Open Sans" w:hAnsi="Open Sans"/>
        </w:rPr>
        <w:t>bebé.</w:t>
      </w:r>
      <w:r w:rsidR="007D6D2A">
        <w:rPr>
          <w:rFonts w:ascii="Open Sans" w:hAnsi="Open Sans"/>
        </w:rPr>
        <w:t xml:space="preserve"> </w:t>
      </w:r>
      <w:r>
        <w:rPr>
          <w:rFonts w:ascii="Open Sans" w:hAnsi="Open Sans"/>
        </w:rPr>
        <w:t>Normalmente ganha 100 dólares por mês. A sua mulher também ganha 100</w:t>
      </w:r>
      <w:r w:rsidR="007D6D2A">
        <w:rPr>
          <w:rFonts w:ascii="Open Sans" w:hAnsi="Open Sans"/>
        </w:rPr>
        <w:t xml:space="preserve"> dólares</w:t>
      </w:r>
      <w:r>
        <w:rPr>
          <w:rFonts w:ascii="Open Sans" w:hAnsi="Open Sans"/>
        </w:rPr>
        <w:t xml:space="preserve"> por mês</w:t>
      </w:r>
      <w:r w:rsidR="007D6D2A">
        <w:rPr>
          <w:rFonts w:ascii="Open Sans" w:hAnsi="Open Sans"/>
        </w:rPr>
        <w:t>,</w:t>
      </w:r>
      <w:r>
        <w:rPr>
          <w:rFonts w:ascii="Open Sans" w:hAnsi="Open Sans"/>
        </w:rPr>
        <w:t xml:space="preserve"> quando trabalha. Os vossos locais de trabalho não foram afetados pelo sismo.</w:t>
      </w:r>
    </w:p>
    <w:p w14:paraId="0C90A67D" w14:textId="1793B249" w:rsidR="003A267F" w:rsidRPr="00725769" w:rsidRDefault="003A267F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</w:rPr>
      </w:pPr>
      <w:r>
        <w:rPr>
          <w:rFonts w:ascii="Open Sans" w:hAnsi="Open Sans"/>
          <w:b/>
        </w:rPr>
        <w:lastRenderedPageBreak/>
        <w:t>Pessoa D:</w:t>
      </w:r>
      <w:r>
        <w:rPr>
          <w:rFonts w:ascii="Open Sans" w:hAnsi="Open Sans"/>
        </w:rPr>
        <w:t xml:space="preserve"> A sua casa conseguiu resistir ao sismo praticamente sem danos. Tem uma doença crónica e necessita de 20 dólares de medicamentos por mês. Tem dois filhos na escola. O seu local de trabalho ficou danificado e não voltará a </w:t>
      </w:r>
      <w:r w:rsidR="007D6D2A">
        <w:rPr>
          <w:rFonts w:ascii="Open Sans" w:hAnsi="Open Sans"/>
        </w:rPr>
        <w:t>funcionar</w:t>
      </w:r>
      <w:r>
        <w:rPr>
          <w:rFonts w:ascii="Open Sans" w:hAnsi="Open Sans"/>
        </w:rPr>
        <w:t xml:space="preserve"> durante 3 meses. Não receberá qualquer remuneração até à reabertura do seu local de trabalho.</w:t>
      </w:r>
    </w:p>
    <w:p w14:paraId="553BEBE3" w14:textId="2DC4ABB4" w:rsidR="003A267F" w:rsidRPr="00BE5DCF" w:rsidRDefault="003A267F"/>
    <w:p w14:paraId="7CBE6283" w14:textId="182B550B" w:rsidR="003A267F" w:rsidRPr="008B373A" w:rsidRDefault="003A267F">
      <w:pPr>
        <w:rPr>
          <w:rFonts w:ascii="Open Sans" w:eastAsia="Open Sans" w:hAnsi="Open Sans" w:cs="Open Sans"/>
          <w:b/>
          <w:sz w:val="24"/>
          <w:szCs w:val="24"/>
        </w:rPr>
      </w:pPr>
      <w:r>
        <w:rPr>
          <w:rFonts w:ascii="Open Sans" w:hAnsi="Open Sans"/>
          <w:b/>
          <w:sz w:val="24"/>
        </w:rPr>
        <w:t>Bens e serviços disponíveis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25"/>
        <w:gridCol w:w="2091"/>
      </w:tblGrid>
      <w:tr w:rsidR="00ED17A6" w:rsidRPr="008B373A" w14:paraId="0D34ADB9" w14:textId="77777777" w:rsidTr="00A36475">
        <w:tc>
          <w:tcPr>
            <w:tcW w:w="7195" w:type="dxa"/>
            <w:shd w:val="clear" w:color="auto" w:fill="auto"/>
          </w:tcPr>
          <w:p w14:paraId="097BAB98" w14:textId="7B517776" w:rsidR="003A267F" w:rsidRPr="008B373A" w:rsidRDefault="006370FF">
            <w:pPr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Bens e serviços</w:t>
            </w:r>
          </w:p>
        </w:tc>
        <w:tc>
          <w:tcPr>
            <w:tcW w:w="2155" w:type="dxa"/>
            <w:shd w:val="clear" w:color="auto" w:fill="auto"/>
          </w:tcPr>
          <w:p w14:paraId="68728A68" w14:textId="26B4B4C1" w:rsidR="003A267F" w:rsidRPr="008B373A" w:rsidRDefault="00A36475">
            <w:pPr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Preço</w:t>
            </w:r>
          </w:p>
        </w:tc>
      </w:tr>
      <w:tr w:rsidR="00ED17A6" w:rsidRPr="0026218B" w14:paraId="78CEC7BD" w14:textId="77777777" w:rsidTr="006370FF">
        <w:tc>
          <w:tcPr>
            <w:tcW w:w="7195" w:type="dxa"/>
          </w:tcPr>
          <w:p w14:paraId="38F941F0" w14:textId="70FA32D8" w:rsidR="003A267F" w:rsidRPr="0026218B" w:rsidRDefault="003A267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Consulta médica</w:t>
            </w:r>
          </w:p>
        </w:tc>
        <w:tc>
          <w:tcPr>
            <w:tcW w:w="2155" w:type="dxa"/>
          </w:tcPr>
          <w:p w14:paraId="4D6362B6" w14:textId="516A3527" w:rsidR="003A267F" w:rsidRPr="0026218B" w:rsidRDefault="003A267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$15</w:t>
            </w:r>
          </w:p>
        </w:tc>
      </w:tr>
      <w:tr w:rsidR="00ED17A6" w:rsidRPr="0026218B" w14:paraId="534CAA6F" w14:textId="77777777" w:rsidTr="006370FF">
        <w:tc>
          <w:tcPr>
            <w:tcW w:w="7195" w:type="dxa"/>
          </w:tcPr>
          <w:p w14:paraId="2FD1A5E2" w14:textId="6AAA4BAD" w:rsidR="003A267F" w:rsidRPr="0026218B" w:rsidRDefault="00086B89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Uma folha de lona (4m x 5m)</w:t>
            </w:r>
          </w:p>
        </w:tc>
        <w:tc>
          <w:tcPr>
            <w:tcW w:w="2155" w:type="dxa"/>
          </w:tcPr>
          <w:p w14:paraId="18D58B46" w14:textId="22260A2F" w:rsidR="003A267F" w:rsidRPr="0026218B" w:rsidRDefault="003A267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$6</w:t>
            </w:r>
          </w:p>
        </w:tc>
      </w:tr>
      <w:tr w:rsidR="00ED17A6" w:rsidRPr="0026218B" w14:paraId="4B8F0C54" w14:textId="77777777" w:rsidTr="006370FF">
        <w:tc>
          <w:tcPr>
            <w:tcW w:w="7195" w:type="dxa"/>
          </w:tcPr>
          <w:p w14:paraId="3F335265" w14:textId="28617ADA" w:rsidR="003A267F" w:rsidRPr="0026218B" w:rsidRDefault="003A267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Vidro de janela para uma janela</w:t>
            </w:r>
          </w:p>
        </w:tc>
        <w:tc>
          <w:tcPr>
            <w:tcW w:w="2155" w:type="dxa"/>
          </w:tcPr>
          <w:p w14:paraId="2EECC003" w14:textId="3EB2C580" w:rsidR="003A267F" w:rsidRPr="0026218B" w:rsidRDefault="003A267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$10</w:t>
            </w:r>
          </w:p>
        </w:tc>
      </w:tr>
      <w:tr w:rsidR="00ED17A6" w:rsidRPr="0026218B" w14:paraId="47D9EAA0" w14:textId="77777777" w:rsidTr="006370FF">
        <w:tc>
          <w:tcPr>
            <w:tcW w:w="7195" w:type="dxa"/>
          </w:tcPr>
          <w:p w14:paraId="49D8D92B" w14:textId="662E89E2" w:rsidR="003A267F" w:rsidRPr="0026218B" w:rsidRDefault="006370F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Folha de plástico transparente</w:t>
            </w:r>
          </w:p>
        </w:tc>
        <w:tc>
          <w:tcPr>
            <w:tcW w:w="2155" w:type="dxa"/>
          </w:tcPr>
          <w:p w14:paraId="1F101A9E" w14:textId="6B4FA434" w:rsidR="003A267F" w:rsidRPr="0026218B" w:rsidRDefault="006370F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$2</w:t>
            </w:r>
          </w:p>
        </w:tc>
      </w:tr>
      <w:tr w:rsidR="00ED17A6" w:rsidRPr="0026218B" w14:paraId="4E4CAA40" w14:textId="77777777" w:rsidTr="006370FF">
        <w:tc>
          <w:tcPr>
            <w:tcW w:w="7195" w:type="dxa"/>
          </w:tcPr>
          <w:p w14:paraId="0E0AE40E" w14:textId="629EBF06" w:rsidR="006370FF" w:rsidRPr="0026218B" w:rsidRDefault="006370FF" w:rsidP="006370F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Medicamentos para a</w:t>
            </w:r>
            <w:r w:rsidR="007D6D2A">
              <w:rPr>
                <w:rFonts w:ascii="Open Sans" w:hAnsi="Open Sans"/>
                <w:sz w:val="24"/>
              </w:rPr>
              <w:t>s</w:t>
            </w:r>
            <w:r>
              <w:rPr>
                <w:rFonts w:ascii="Open Sans" w:hAnsi="Open Sans"/>
                <w:sz w:val="24"/>
              </w:rPr>
              <w:t xml:space="preserve"> dor</w:t>
            </w:r>
            <w:r w:rsidR="007D6D2A">
              <w:rPr>
                <w:rFonts w:ascii="Open Sans" w:hAnsi="Open Sans"/>
                <w:sz w:val="24"/>
              </w:rPr>
              <w:t>es</w:t>
            </w:r>
          </w:p>
        </w:tc>
        <w:tc>
          <w:tcPr>
            <w:tcW w:w="2155" w:type="dxa"/>
          </w:tcPr>
          <w:p w14:paraId="52DB9E17" w14:textId="695B3D86" w:rsidR="006370FF" w:rsidRPr="0026218B" w:rsidRDefault="006370FF" w:rsidP="006370F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$5</w:t>
            </w:r>
          </w:p>
        </w:tc>
      </w:tr>
      <w:tr w:rsidR="00ED17A6" w:rsidRPr="0026218B" w14:paraId="22809129" w14:textId="77777777" w:rsidTr="006370FF">
        <w:tc>
          <w:tcPr>
            <w:tcW w:w="7195" w:type="dxa"/>
          </w:tcPr>
          <w:p w14:paraId="6E2C478B" w14:textId="7F133872" w:rsidR="006370FF" w:rsidRPr="0026218B" w:rsidRDefault="006370FF" w:rsidP="006370F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Ligaduras para prevenir a infeção</w:t>
            </w:r>
          </w:p>
        </w:tc>
        <w:tc>
          <w:tcPr>
            <w:tcW w:w="2155" w:type="dxa"/>
          </w:tcPr>
          <w:p w14:paraId="33C187B9" w14:textId="6C542767" w:rsidR="006370FF" w:rsidRPr="0026218B" w:rsidRDefault="006370FF" w:rsidP="006370F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$5</w:t>
            </w:r>
          </w:p>
        </w:tc>
      </w:tr>
      <w:tr w:rsidR="00ED17A6" w:rsidRPr="0026218B" w14:paraId="1AC7CEF6" w14:textId="77777777" w:rsidTr="006370FF">
        <w:tc>
          <w:tcPr>
            <w:tcW w:w="7195" w:type="dxa"/>
          </w:tcPr>
          <w:p w14:paraId="394D9A47" w14:textId="73787F92" w:rsidR="006370FF" w:rsidRPr="0026218B" w:rsidRDefault="00ED17A6" w:rsidP="006370F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Medicamentos para a doença X</w:t>
            </w:r>
          </w:p>
        </w:tc>
        <w:tc>
          <w:tcPr>
            <w:tcW w:w="2155" w:type="dxa"/>
          </w:tcPr>
          <w:p w14:paraId="71245B19" w14:textId="70C2E644" w:rsidR="006370FF" w:rsidRPr="0026218B" w:rsidRDefault="00ED17A6" w:rsidP="006370F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$20</w:t>
            </w:r>
          </w:p>
        </w:tc>
      </w:tr>
      <w:tr w:rsidR="006370FF" w:rsidRPr="0026218B" w14:paraId="48593D87" w14:textId="77777777" w:rsidTr="006370FF">
        <w:tc>
          <w:tcPr>
            <w:tcW w:w="7195" w:type="dxa"/>
          </w:tcPr>
          <w:p w14:paraId="5BB184C4" w14:textId="6B54133B" w:rsidR="006370FF" w:rsidRPr="0026218B" w:rsidRDefault="007A62D3" w:rsidP="006370F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Kit de reparação de telhados</w:t>
            </w:r>
          </w:p>
        </w:tc>
        <w:tc>
          <w:tcPr>
            <w:tcW w:w="2155" w:type="dxa"/>
          </w:tcPr>
          <w:p w14:paraId="443F3822" w14:textId="1372B978" w:rsidR="006370FF" w:rsidRPr="0026218B" w:rsidRDefault="007A62D3" w:rsidP="006370F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$100</w:t>
            </w:r>
          </w:p>
        </w:tc>
      </w:tr>
      <w:tr w:rsidR="006370FF" w:rsidRPr="0026218B" w14:paraId="46E4044A" w14:textId="77777777" w:rsidTr="006370FF">
        <w:tc>
          <w:tcPr>
            <w:tcW w:w="7195" w:type="dxa"/>
          </w:tcPr>
          <w:p w14:paraId="229A4155" w14:textId="397944F1" w:rsidR="006370FF" w:rsidRPr="0026218B" w:rsidRDefault="00A36475" w:rsidP="006370F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Alimentos para bebé durante 1 semana</w:t>
            </w:r>
          </w:p>
        </w:tc>
        <w:tc>
          <w:tcPr>
            <w:tcW w:w="2155" w:type="dxa"/>
          </w:tcPr>
          <w:p w14:paraId="12C912D4" w14:textId="2E1B3BBD" w:rsidR="006370FF" w:rsidRPr="0026218B" w:rsidRDefault="00A36475" w:rsidP="006370F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$10</w:t>
            </w:r>
          </w:p>
        </w:tc>
      </w:tr>
      <w:tr w:rsidR="00A36475" w:rsidRPr="0026218B" w14:paraId="2F212DE6" w14:textId="77777777" w:rsidTr="006370FF">
        <w:tc>
          <w:tcPr>
            <w:tcW w:w="7195" w:type="dxa"/>
          </w:tcPr>
          <w:p w14:paraId="07FEE1E1" w14:textId="1F696381" w:rsidR="00A36475" w:rsidRPr="0026218B" w:rsidRDefault="00A36475" w:rsidP="006370F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Propinas escolares por criança</w:t>
            </w:r>
            <w:r w:rsidR="007D6D2A">
              <w:rPr>
                <w:rFonts w:ascii="Open Sans" w:hAnsi="Open Sans"/>
                <w:sz w:val="24"/>
              </w:rPr>
              <w:t>,</w:t>
            </w:r>
            <w:r>
              <w:rPr>
                <w:rFonts w:ascii="Open Sans" w:hAnsi="Open Sans"/>
                <w:sz w:val="24"/>
              </w:rPr>
              <w:t xml:space="preserve"> por mês</w:t>
            </w:r>
          </w:p>
        </w:tc>
        <w:tc>
          <w:tcPr>
            <w:tcW w:w="2155" w:type="dxa"/>
          </w:tcPr>
          <w:p w14:paraId="582C1B53" w14:textId="0CE6E412" w:rsidR="00A36475" w:rsidRPr="0026218B" w:rsidRDefault="00A36475" w:rsidP="006370F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$10</w:t>
            </w:r>
          </w:p>
        </w:tc>
      </w:tr>
      <w:tr w:rsidR="00A36475" w:rsidRPr="0026218B" w14:paraId="36DE9122" w14:textId="77777777" w:rsidTr="006370FF">
        <w:tc>
          <w:tcPr>
            <w:tcW w:w="7195" w:type="dxa"/>
          </w:tcPr>
          <w:p w14:paraId="26EA95DD" w14:textId="291B0988" w:rsidR="00A36475" w:rsidRPr="0026218B" w:rsidRDefault="008B23D7" w:rsidP="006370F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Uniforme escolar</w:t>
            </w:r>
          </w:p>
        </w:tc>
        <w:tc>
          <w:tcPr>
            <w:tcW w:w="2155" w:type="dxa"/>
          </w:tcPr>
          <w:p w14:paraId="108419CD" w14:textId="113E799B" w:rsidR="00A36475" w:rsidRPr="0026218B" w:rsidRDefault="008B23D7" w:rsidP="006370FF">
            <w:pPr>
              <w:rPr>
                <w:rFonts w:ascii="Open Sans" w:eastAsia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sz w:val="24"/>
              </w:rPr>
              <w:t>$20</w:t>
            </w:r>
          </w:p>
        </w:tc>
      </w:tr>
    </w:tbl>
    <w:p w14:paraId="2E939D2D" w14:textId="0466B09E" w:rsidR="003A267F" w:rsidRPr="0026218B" w:rsidRDefault="003A267F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sectPr w:rsidR="003A267F" w:rsidRPr="0026218B" w:rsidSect="00EE67BC">
      <w:pgSz w:w="11906" w:h="16838" w:code="9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12E3E" w14:textId="77777777" w:rsidR="00AA27C0" w:rsidRDefault="00AA27C0" w:rsidP="00343F65">
      <w:pPr>
        <w:spacing w:after="0" w:line="240" w:lineRule="auto"/>
      </w:pPr>
      <w:r>
        <w:separator/>
      </w:r>
    </w:p>
  </w:endnote>
  <w:endnote w:type="continuationSeparator" w:id="0">
    <w:p w14:paraId="1070309D" w14:textId="77777777" w:rsidR="00AA27C0" w:rsidRDefault="00AA27C0" w:rsidP="00343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B9BEE" w14:textId="77777777" w:rsidR="00AA27C0" w:rsidRDefault="00AA27C0" w:rsidP="00343F65">
      <w:pPr>
        <w:spacing w:after="0" w:line="240" w:lineRule="auto"/>
      </w:pPr>
      <w:r>
        <w:separator/>
      </w:r>
    </w:p>
  </w:footnote>
  <w:footnote w:type="continuationSeparator" w:id="0">
    <w:p w14:paraId="600BBC2D" w14:textId="77777777" w:rsidR="00AA27C0" w:rsidRDefault="00AA27C0" w:rsidP="00343F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67F"/>
    <w:rsid w:val="00086B89"/>
    <w:rsid w:val="0010239E"/>
    <w:rsid w:val="0026218B"/>
    <w:rsid w:val="002B7862"/>
    <w:rsid w:val="002E48EF"/>
    <w:rsid w:val="00343F65"/>
    <w:rsid w:val="00375EC8"/>
    <w:rsid w:val="003875AD"/>
    <w:rsid w:val="003A267F"/>
    <w:rsid w:val="004D7CDE"/>
    <w:rsid w:val="006370FF"/>
    <w:rsid w:val="006401FA"/>
    <w:rsid w:val="00725769"/>
    <w:rsid w:val="007A62D3"/>
    <w:rsid w:val="007C0FB0"/>
    <w:rsid w:val="007C522F"/>
    <w:rsid w:val="007D6D2A"/>
    <w:rsid w:val="008626FA"/>
    <w:rsid w:val="008B23D7"/>
    <w:rsid w:val="008B373A"/>
    <w:rsid w:val="00924987"/>
    <w:rsid w:val="009F64C7"/>
    <w:rsid w:val="00A36475"/>
    <w:rsid w:val="00AA27C0"/>
    <w:rsid w:val="00B204E1"/>
    <w:rsid w:val="00BE5DCF"/>
    <w:rsid w:val="00CB22B3"/>
    <w:rsid w:val="00D607F2"/>
    <w:rsid w:val="00D664A1"/>
    <w:rsid w:val="00D726B7"/>
    <w:rsid w:val="00DA6A7D"/>
    <w:rsid w:val="00DE3FB5"/>
    <w:rsid w:val="00E12A45"/>
    <w:rsid w:val="00EB57E8"/>
    <w:rsid w:val="00EC734D"/>
    <w:rsid w:val="00ED17A6"/>
    <w:rsid w:val="00EE67BC"/>
    <w:rsid w:val="00F7534F"/>
    <w:rsid w:val="00F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A7A49"/>
  <w15:chartTrackingRefBased/>
  <w15:docId w15:val="{B4B377E7-9DED-46E1-99AA-3D757A4F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D1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43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F65"/>
  </w:style>
  <w:style w:type="paragraph" w:styleId="Footer">
    <w:name w:val="footer"/>
    <w:basedOn w:val="Normal"/>
    <w:link w:val="FooterChar"/>
    <w:uiPriority w:val="99"/>
    <w:unhideWhenUsed/>
    <w:rsid w:val="00343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F65"/>
  </w:style>
  <w:style w:type="character" w:styleId="CommentReference">
    <w:name w:val="annotation reference"/>
    <w:basedOn w:val="DefaultParagraphFont"/>
    <w:uiPriority w:val="99"/>
    <w:semiHidden/>
    <w:unhideWhenUsed/>
    <w:rsid w:val="00086B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6B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6B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6B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6B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B8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B8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E63ADEE4-8D71-473F-8E34-E95C20B24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2AFAC3-6BE0-4686-BBD5-20CA14B312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D16C30-94EE-491B-A5D0-5851E5623C30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435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17 CBA Activity 1</dc:title>
  <dc:subject>tradução de en-pt</dc:subject>
  <dc:creator>DeVon Solomon;Luísa Merki</dc:creator>
  <cp:keywords>2021107</cp:keywords>
  <dc:description/>
  <cp:lastModifiedBy>Luisa</cp:lastModifiedBy>
  <cp:revision>9</cp:revision>
  <cp:lastPrinted>2018-11-19T20:38:00Z</cp:lastPrinted>
  <dcterms:created xsi:type="dcterms:W3CDTF">2019-04-23T08:33:00Z</dcterms:created>
  <dcterms:modified xsi:type="dcterms:W3CDTF">2021-07-13T13:18:00Z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6889800</vt:r8>
  </property>
</Properties>
</file>